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IV 182</w:t>
      </w:r>
    </w:p>
    <w:p>
      <w:r>
        <w:t>Bundesgericht (BGE), 1994-01-01, DE</w:t>
      </w:r>
    </w:p>
    <w:p>
      <w:r>
        <w:rPr>
          <w:b/>
        </w:rPr>
        <w:t xml:space="preserve">Quelle: </w:t>
      </w:r>
      <w:r>
        <w:t>https://mcp.opencaselaw.ch/entscheid/bge_120 IV 182</w:t>
      </w:r>
    </w:p>
    <w:p>
      <w:r>
        <w:t>FR: ATF 120 IV 182</w:t>
      </w:r>
    </w:p>
    <w:p>
      <w:r>
        <w:t>IT: DTF 120 IV 182</w:t>
      </w:r>
    </w:p>
    <w:p>
      <w:pPr>
        <w:pStyle w:val="Heading2"/>
      </w:pPr>
      <w:r>
        <w:t>Regeste</w:t>
      </w:r>
    </w:p>
    <w:p>
      <w:r>
        <w:t>Regeste Art. 140 Ziff. 2 StGB; qualifizierte Veruntreuung, berufsmässiger Vermögensverwalter, behördlich bewilligte Berufsausübung. Berufsmässiger Vermögensverwalter ist, wer als Angestellter einer Bank für die Verwaltung von Kundenvermögen (mit)verantwortlich ist (E. 1b; Bestätigung der Rechtsprechung). Entscheidend für die Annahme einer behördlich bewilligten Berufsausübung ist die Art der Tätigkeit und nicht in erster Linie die Stellung des Täters innerhalb des Unternehmens. Der Bankfilialleiter- Stellvertreter, der durch eine Veruntreuung ausschliesslich seine Arbeitgeberin schädigt, ohne dabei Bedingungen für die Betriebsbewilligung der Bank zu verletzen, und somit auch keine Kundenguthaben gefährdet, erfüllt das Qualifizierungsmerkmal nicht (E. 2).</w:t>
      </w:r>
    </w:p>
    <w:p>
      <w:pPr>
        <w:pStyle w:val="Heading2"/>
      </w:pPr>
      <w:r>
        <w:t>Erwägungen</w:t>
      </w:r>
    </w:p>
    <w:p>
      <w:r>
        <w:rPr>
          <w:b/>
        </w:rPr>
        <w:t>E. 1</w:t>
      </w:r>
    </w:p>
    <w:p>
      <w:r>
        <w:t>a) Wer sich eine ihm anvertraute, bewegliche Sache aneignet, um sich oder einen andern damit unrechtmässig zu bereichern, oder wer anvertrautes Gut, namentlich Geld, unrechtmässig in seinem oder eines andern Nutzen verwendet, wird mit Gefängnis bis zu fünf Jahren bestraft ( Art. 140 Ziff. 1 StGB ). Wer die Tat u.a. als berufsmässiger Vermögensverwalter oder bei Ausübung eines Berufes, zu der er durch eine Behörde ermächtigt ist, begeht, wird mit Zuchthaus bis zu zehn Jahren oder mit Gefängnis nicht unter einem Monate bestraft (Ziff. 2). b) Nach der Rechtsprechung ist berufsmässiger Vermögensverwalter im Sinne von Art. 140 Ziff. 2 StGB , wer als Angestellter einer Bank für die Verwaltung von Kundenvermögen (mit-)verantwortlich ist ( BGE 106 IV 20 E. 2b). Wer innerhalb einer Bank eine Tätigkeit verrichtet, derentwegen die Bank der behördlichen Bewilligung bedarf, übt einen durch die Behörde ermächtigten Beruf im Sinne dieser Bestimmung aus (E. 2b). Das Bundesgericht legte in der Folge ausführlich dar, weshalb die dagegen erhobene Kritik (STRATENWERTH, Strafrecht, Besonderer Teil I, 3. Aufl., S. 193; SCHULTZ, ZBJV 118/1982 S. 19 f.) unbegründet und an der Rechtsprechung festzuhalten sei ( BGE 110 IV 15 E. 3 f.). BGE 120 IV 182 S. 184 Die Vorinstanz erklärt lediglich, sie teile die erwähnte Kritik, setzt sich aber mit BGE 110 IV 15 nicht auseinander. Es besteht auch kein Anlass, auf diese Rechtsprechung zurückzukommen. Sie wurde seither insoweit bestätigt, als insbesondere zum Schutz des Treugebers (unveröffentlichtes Urteil des Kassationshofes i.S. K. vom 21. Dezember 1992, E. 1b) diejenigen Tätergruppen erfasst werden sollen, die erhöhtes Vertrauen geniessen ( BGE 117 IV 20 E. 1b). Dass die Vermögenswerte häufig dem Täter nicht persönlich anvertraut werden, ändert nichts. Denn wer Vermögenswerte einer Bank anvertraut, der geht bei der heutigen arbeitsteiligen Wirtschaft davon aus, dass die ganze Organisation, die der Bank zur Verfügung steht, das Vertrauen erfüllt (SCHUBARTH, Kommentar Strafrecht, Art. 140 N. 61; zustimmend zur bundesgerichtlichen Praxis REHBERG, Grundriss Strafrecht III, 5. Auflage, S. 100 und in ZStR 98/1981, S. 361; ablehnend SCHULTZ, ZBJV 118/1982 S. 19 f. sowie mit ähnlicher Begründung in ZBJV 122/1986 S. 7 f. und STRATENWERTH, Strafrecht, Besonderer Teil I, 3. Aufl., S. 193, der sich in der 4. Auflage, S. 261 N. 69 mit BGE 110 IV 15 nicht näher auseinandersetzt). Zudem liegt die bundesgerichtliche Rechtsprechung inhaltlich auf der Linie der Revision des Strafgesetzbuches vom 17. Juni 1994 ( Art. 172 E StGB , vgl. Botschaft des Bundesrats über die Änderung des Schweizerischen Strafgesetzbuches und des Militärstrafgesetzes vom 24. April 1991, BBl 1991 II S. 1073; Vorentwurf der Expertenkommission zum Allgemeinen Teil und zum Dritten Buch des Strafgesetzbuches und zu einem Bundesgesetz über die Jugendstrafrechtspflege, Bundesamt für Justiz 1993, Art. 24 VE StGB; Art. 172 StGB gemäss Revision vom 17. Juni 1994, BBl 1994 III S. 266).</w:t>
      </w:r>
    </w:p>
    <w:p>
      <w:r>
        <w:rPr>
          <w:b/>
        </w:rPr>
        <w:t>E. 2</w:t>
      </w:r>
    </w:p>
    <w:p>
      <w:r>
        <w:t>a) Die Vorinstanz stellt für den Kassationshof verbindlich fest, dass der Beschwerdegegner bei der genossenschaftlichen Zentralbank (GZB) nie die Funktion eines Vermögensverwalters ausgeübt habe. Er sei lediglich Anlaufstelle gewesen; im Rahmen seiner beschränkten Kompetenzen habe er die Gelder der Kunden nur entgegengenommen und weitergegeben und sei in erster Linie für das sichere Aufbewahren des Geldes verantwortlich gewesen. Seine Aufgabe habe aber nie in einer verwalterischen Tätigkeit bestanden, wie z.B. das Geld in Wertpapieren anzulegen, diese zu kaufen oder verkaufen oder mit dem Geld in einer anderen nutzbringenden Art zu arbeiten. Bei Ferienabwesenheit des Filialleiters habe er dessen Stellvertretung übernommen und entgegen den bankinternen Vorschriften eine Bargeldanhäufung BGE 120 IV 182 S. 185 bewirkt, indem er mehr Geld als üblich und zulässig habe anstehen lassen. Im weiteren habe er bei der Nationalbank für den Bankomaten Fr. 400'000.-- in Noten bestellt; beim Verlassen der Bank habe er gebündelte Geldnoten im Werte von ca. Fr. 1,75 Mio mitgenommen. Aufgrund dieser Feststellungen ist davon auszugehen, dass der Beschwerdegegner nicht in der Eigenschaft als berufsmässiger Vermögensverwalter veruntreut hat. Zudem eignete er sich das Geld aus der "Tageskasse" seiner Filiale an, das infolge Vermischung der Bank gehörte. Beim Geld, das sich der Beschwerdegegner aneignete, handelte es sich somit nicht um Kunden-, sondern um Bankgelder. Im Verhältnis zur GZB fällt eine Vermögensverwaltung durch den Beschwerdegegner zum vornherein ausser Betracht. Der Bankangestellte, der sich aus der Kasse der Arbeitgeberin bedient, ist nicht anders zu beurteilen als jeder andere, nicht im Sinne von Art. 140 Ziff. 2 StGB qualifizierte Arbeitnehmer, der sich so verhält. b) Qualifizierter Veruntreuung macht sich auch schuldig, wer die Tat bei Ausübung eines Berufes begeht, zu der er durch eine Behörde ermächtigt ist ( Art. 140 Ziff. 2 StGB ). Das Bankgeschäft ist - insbesondere zum Schutz der Gesamtheit der Kundengelder (vgl. Art. 4 ff. BankG [SR 952.0] und Art. 11 ff. BankV [SR 952.02]) - nur mit behördlicher Bewilligung gestattet ( Art. 3 BankG ). Wer innerhalb einer Bank eine Tätigkeit verrichtet, derentwegen die Bank der behördlichen Bewilligung bedarf, übt einen durch die Behörde ermächtigten Beruf aus ( BGE 106 IV 20 E. 2b). Entscheidend ist somit die Art der Tätigkeit und nicht in erster Linie die Stellung des Täters innerhalb des Unternehmens. Wenn ein Bankangestellter durch eine Veruntreuung ausschliesslich seine Arbeitgeberin schädigt, ohne dabei Bedingungen für die Betriebsbewilligung der Bank zu verletzen, und somit auch keine Kundenguthaben gefährdet, handelt er nicht bei Ausübung einer Berufstätigkeit, die der behördlichen Ermächtigung bedarf. In solchen Fällen ist eine qualifizierte Begehung zu verneinen. Indem der Beschwerdegegner unzulässigerweise mehr Geld als üblich in der Tageskasse hat anstehen lassen, hat er gegen bankinterne Richtlinien verstossen. Dabei handelt es sich aber lediglich um einen Verstoss gegen Arbeitsvertragsvorschriften und somit um eine Angelegenheit zwischen Arbeitgeberin und Arbeitnehmer. Inwiefern dadurch Bedingungen für die Betriebsbewilligung der GZB verletzt worden wären, legt der Beschwerdeführer nicht dar und ist auch nicht ersichtlich. Dasselbe gilt bezüglich der Bestellung von Fr. 400'000.-- für den Bankomaten. Da somit die BGE 120 IV 182 S. 186 Art der Tätigkeit des Beschwerdegegners keiner behördlichen Ermächtigung bedurfte, entfällt das Tatbestandsmerkmal der behördlich bewilligten Berufsausübung und damit eine qualifizierte Veruntreuung nach Art. 140 Ziff. 2 StGB .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